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85C55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701"/>
        <w:gridCol w:w="2409"/>
      </w:tblGrid>
      <w:tr w:rsidR="00CD46BC" w:rsidRPr="004B5560" w:rsidTr="002A43C7">
        <w:tc>
          <w:tcPr>
            <w:tcW w:w="212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2A43C7">
        <w:trPr>
          <w:trHeight w:val="956"/>
        </w:trPr>
        <w:tc>
          <w:tcPr>
            <w:tcW w:w="2122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7D02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2591">
              <w:rPr>
                <w:rFonts w:ascii="Times New Roman" w:hAnsi="Times New Roman"/>
                <w:sz w:val="20"/>
                <w:szCs w:val="20"/>
              </w:rPr>
              <w:t>8</w:t>
            </w:r>
            <w:r w:rsidR="007D024E">
              <w:rPr>
                <w:rFonts w:ascii="Times New Roman" w:hAnsi="Times New Roman"/>
                <w:sz w:val="20"/>
                <w:szCs w:val="20"/>
              </w:rPr>
              <w:t>0</w:t>
            </w:r>
            <w:r w:rsidRPr="00822591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31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7D024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7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7D024E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 w:rsidRPr="004B556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с 01 </w:t>
      </w:r>
      <w:r w:rsidR="007D024E">
        <w:rPr>
          <w:rFonts w:ascii="Times New Roman" w:hAnsi="Times New Roman"/>
          <w:b/>
        </w:rPr>
        <w:t>марта 2026</w:t>
      </w:r>
      <w:r>
        <w:rPr>
          <w:rFonts w:ascii="Times New Roman" w:hAnsi="Times New Roman"/>
          <w:b/>
        </w:rPr>
        <w:t xml:space="preserve"> года по 30 </w:t>
      </w:r>
      <w:r w:rsidR="007D024E">
        <w:rPr>
          <w:rFonts w:ascii="Times New Roman" w:hAnsi="Times New Roman"/>
          <w:b/>
        </w:rPr>
        <w:t>марта 2026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 xml:space="preserve">01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года по 30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B93338" w:rsidRPr="006C4488">
        <w:rPr>
          <w:rFonts w:ascii="Times New Roman" w:hAnsi="Times New Roman"/>
          <w:b/>
        </w:rPr>
        <w:t xml:space="preserve">г. </w:t>
      </w:r>
      <w:r w:rsidR="00B93338">
        <w:rPr>
          <w:rFonts w:ascii="Times New Roman" w:hAnsi="Times New Roman"/>
          <w:b/>
        </w:rPr>
        <w:t>Актау, мкр.5, здание 15/2,</w:t>
      </w:r>
      <w:r w:rsidR="00B93338" w:rsidRPr="00812F9A">
        <w:rPr>
          <w:rFonts w:ascii="Times New Roman" w:hAnsi="Times New Roman"/>
          <w:b/>
        </w:rPr>
        <w:t xml:space="preserve"> </w:t>
      </w:r>
      <w:r w:rsidR="00B93338">
        <w:rPr>
          <w:rFonts w:ascii="Times New Roman" w:hAnsi="Times New Roman"/>
          <w:b/>
        </w:rPr>
        <w:t>магазин Волна</w:t>
      </w:r>
      <w:r w:rsidR="00B93338"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183539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 xml:space="preserve">01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года по 30 </w:t>
      </w:r>
      <w:r w:rsidR="007D024E">
        <w:rPr>
          <w:rFonts w:ascii="Times New Roman" w:hAnsi="Times New Roman"/>
          <w:b/>
        </w:rPr>
        <w:t>марта 2026</w:t>
      </w:r>
      <w:r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>
        <w:rPr>
          <w:rFonts w:ascii="Times New Roman" w:hAnsi="Times New Roman"/>
          <w:b/>
        </w:rPr>
        <w:t xml:space="preserve">30 </w:t>
      </w:r>
      <w:r w:rsidR="007D024E">
        <w:rPr>
          <w:rFonts w:ascii="Times New Roman" w:hAnsi="Times New Roman"/>
          <w:b/>
        </w:rPr>
        <w:t>марта</w:t>
      </w:r>
      <w:r w:rsidRPr="008774A1"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 xml:space="preserve">31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7D024E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5" w:name="SUB7900"/>
      <w:bookmarkStart w:id="6" w:name="SUB170401"/>
      <w:bookmarkStart w:id="7" w:name="SUB170403"/>
      <w:bookmarkEnd w:id="5"/>
      <w:bookmarkEnd w:id="6"/>
      <w:bookmarkEnd w:id="7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7D024E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</w:t>
      </w:r>
      <w:r w:rsidR="007D024E" w:rsidRPr="007D024E">
        <w:rPr>
          <w:b/>
          <w:sz w:val="22"/>
          <w:szCs w:val="22"/>
        </w:rPr>
        <w:t>7 701 991 67 68</w:t>
      </w:r>
      <w:bookmarkStart w:id="8" w:name="_GoBack"/>
      <w:bookmarkEnd w:id="8"/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D024E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E17D-7D15-49B6-941B-9C055004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4</cp:revision>
  <dcterms:created xsi:type="dcterms:W3CDTF">2025-12-12T10:18:00Z</dcterms:created>
  <dcterms:modified xsi:type="dcterms:W3CDTF">2026-03-10T10:45:00Z</dcterms:modified>
</cp:coreProperties>
</file>